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E1" w:rsidRPr="00A710E1" w:rsidRDefault="00A710E1" w:rsidP="00A710E1">
      <w:pPr>
        <w:pStyle w:val="Lijstalinea"/>
        <w:rPr>
          <w:color w:val="222222"/>
        </w:rPr>
      </w:pPr>
      <w:r w:rsidRPr="00A710E1">
        <w:rPr>
          <w:b/>
          <w:color w:val="222222"/>
        </w:rPr>
        <w:t>Verwijzingen lijst</w:t>
      </w:r>
      <w:r>
        <w:rPr>
          <w:b/>
          <w:color w:val="222222"/>
        </w:rPr>
        <w:t xml:space="preserve">    </w:t>
      </w:r>
      <w:r>
        <w:rPr>
          <w:color w:val="222222"/>
        </w:rPr>
        <w:t>bijscholing 24 april 2018</w:t>
      </w:r>
    </w:p>
    <w:p w:rsidR="00A710E1" w:rsidRDefault="00A710E1" w:rsidP="00A710E1">
      <w:pPr>
        <w:pStyle w:val="Lijstalinea"/>
        <w:rPr>
          <w:color w:val="222222"/>
        </w:rPr>
      </w:pPr>
    </w:p>
    <w:p w:rsidR="00A710E1" w:rsidRPr="00841D28" w:rsidRDefault="00A710E1" w:rsidP="00A710E1">
      <w:pPr>
        <w:pStyle w:val="Lijstalinea"/>
        <w:rPr>
          <w:rFonts w:ascii="Verdana" w:hAnsi="Verdana" w:cs="Arial"/>
          <w:bCs/>
          <w:sz w:val="20"/>
          <w:szCs w:val="20"/>
          <w:highlight w:val="yellow"/>
          <w:lang w:val="en-US"/>
        </w:rPr>
      </w:pPr>
      <w:r>
        <w:rPr>
          <w:color w:val="222222"/>
        </w:rPr>
        <w:t xml:space="preserve">Joustra, M. L., Janssens, K. A., </w:t>
      </w:r>
      <w:proofErr w:type="spellStart"/>
      <w:r>
        <w:rPr>
          <w:color w:val="222222"/>
        </w:rPr>
        <w:t>Bültmann</w:t>
      </w:r>
      <w:proofErr w:type="spellEnd"/>
      <w:r>
        <w:rPr>
          <w:color w:val="222222"/>
        </w:rPr>
        <w:t xml:space="preserve">, U., &amp; Rosmalen, J. G. (2015). </w:t>
      </w:r>
      <w:r w:rsidRPr="00841D28">
        <w:rPr>
          <w:color w:val="222222"/>
          <w:lang w:val="en-US"/>
        </w:rPr>
        <w:t xml:space="preserve">Functional limitations in functional somatic syndromes and well-defined medical diseases. Results from the general population cohort </w:t>
      </w:r>
      <w:proofErr w:type="spellStart"/>
      <w:r w:rsidRPr="00841D28">
        <w:rPr>
          <w:color w:val="222222"/>
          <w:lang w:val="en-US"/>
        </w:rPr>
        <w:t>LifeLines</w:t>
      </w:r>
      <w:proofErr w:type="spellEnd"/>
      <w:r w:rsidRPr="00841D28">
        <w:rPr>
          <w:color w:val="222222"/>
          <w:lang w:val="en-US"/>
        </w:rPr>
        <w:t xml:space="preserve">. </w:t>
      </w:r>
      <w:r w:rsidRPr="00841D28">
        <w:rPr>
          <w:i/>
          <w:iCs/>
          <w:color w:val="222222"/>
          <w:lang w:val="en-US"/>
        </w:rPr>
        <w:t>Journal of psychosomatic research</w:t>
      </w:r>
      <w:r w:rsidRPr="00841D28">
        <w:rPr>
          <w:color w:val="222222"/>
          <w:lang w:val="en-US"/>
        </w:rPr>
        <w:t xml:space="preserve">, </w:t>
      </w:r>
      <w:r w:rsidRPr="00841D28">
        <w:rPr>
          <w:i/>
          <w:iCs/>
          <w:color w:val="222222"/>
          <w:lang w:val="en-US"/>
        </w:rPr>
        <w:t>79</w:t>
      </w:r>
      <w:r w:rsidRPr="00841D28">
        <w:rPr>
          <w:color w:val="222222"/>
          <w:lang w:val="en-US"/>
        </w:rPr>
        <w:t>(2), 94-99.</w:t>
      </w:r>
    </w:p>
    <w:p w:rsidR="00A710E1" w:rsidRPr="00A710E1" w:rsidRDefault="00A710E1" w:rsidP="00A710E1">
      <w:pPr>
        <w:pStyle w:val="Lijstalinea"/>
        <w:rPr>
          <w:rFonts w:ascii="Verdana" w:hAnsi="Verdana" w:cs="Arial"/>
          <w:bCs/>
          <w:sz w:val="20"/>
          <w:szCs w:val="20"/>
          <w:highlight w:val="yellow"/>
          <w:lang w:val="en-US"/>
        </w:rPr>
      </w:pPr>
    </w:p>
    <w:p w:rsidR="00A710E1" w:rsidRDefault="00A710E1" w:rsidP="00A710E1">
      <w:pPr>
        <w:pStyle w:val="Lijstalinea"/>
        <w:rPr>
          <w:color w:val="222222"/>
          <w:lang w:val="en-US"/>
        </w:rPr>
      </w:pPr>
      <w:proofErr w:type="spellStart"/>
      <w:r>
        <w:rPr>
          <w:color w:val="222222"/>
        </w:rPr>
        <w:t>Verhaak</w:t>
      </w:r>
      <w:proofErr w:type="spellEnd"/>
      <w:r>
        <w:rPr>
          <w:color w:val="222222"/>
        </w:rPr>
        <w:t xml:space="preserve">, P. F., Meijer, S. A., Visser, A. P., &amp; Wolters, G. (2006). </w:t>
      </w:r>
      <w:r w:rsidRPr="00841D28">
        <w:rPr>
          <w:color w:val="222222"/>
          <w:lang w:val="en-US"/>
        </w:rPr>
        <w:t xml:space="preserve">Persistent presentation of medically unexplained symptoms in general practice. </w:t>
      </w:r>
      <w:r w:rsidRPr="00841D28">
        <w:rPr>
          <w:i/>
          <w:iCs/>
          <w:color w:val="222222"/>
          <w:lang w:val="en-US"/>
        </w:rPr>
        <w:t>Family Practice</w:t>
      </w:r>
      <w:r w:rsidRPr="00841D28">
        <w:rPr>
          <w:color w:val="222222"/>
          <w:lang w:val="en-US"/>
        </w:rPr>
        <w:t xml:space="preserve">, </w:t>
      </w:r>
      <w:r w:rsidRPr="00841D28">
        <w:rPr>
          <w:i/>
          <w:iCs/>
          <w:color w:val="222222"/>
          <w:lang w:val="en-US"/>
        </w:rPr>
        <w:t>23</w:t>
      </w:r>
      <w:r w:rsidRPr="00841D28">
        <w:rPr>
          <w:color w:val="222222"/>
          <w:lang w:val="en-US"/>
        </w:rPr>
        <w:t>(4), 414-420.</w:t>
      </w:r>
    </w:p>
    <w:p w:rsidR="00A710E1" w:rsidRPr="00841D28" w:rsidRDefault="00A710E1" w:rsidP="00A710E1">
      <w:pPr>
        <w:pStyle w:val="Lijstalinea"/>
        <w:rPr>
          <w:rFonts w:ascii="Verdana" w:hAnsi="Verdana" w:cs="Arial"/>
          <w:bCs/>
          <w:sz w:val="20"/>
          <w:szCs w:val="20"/>
          <w:highlight w:val="yellow"/>
          <w:lang w:val="en-US"/>
        </w:rPr>
      </w:pPr>
    </w:p>
    <w:p w:rsidR="00A710E1" w:rsidRDefault="00A710E1" w:rsidP="00A710E1">
      <w:pPr>
        <w:pStyle w:val="Lijstalinea"/>
        <w:rPr>
          <w:color w:val="222222"/>
        </w:rPr>
      </w:pPr>
      <w:r>
        <w:rPr>
          <w:color w:val="222222"/>
        </w:rPr>
        <w:t xml:space="preserve">Olde Hartman, T. C., Hassink-Franke, L. J., Lucassen, P. L., van </w:t>
      </w:r>
      <w:proofErr w:type="spellStart"/>
      <w:r>
        <w:rPr>
          <w:color w:val="222222"/>
        </w:rPr>
        <w:t>Spaendonck</w:t>
      </w:r>
      <w:proofErr w:type="spellEnd"/>
      <w:r>
        <w:rPr>
          <w:color w:val="222222"/>
        </w:rPr>
        <w:t xml:space="preserve">, K. P., &amp; van Weel, C. (2009). </w:t>
      </w:r>
      <w:r w:rsidRPr="00841D28">
        <w:rPr>
          <w:color w:val="222222"/>
          <w:lang w:val="en-US"/>
        </w:rPr>
        <w:t xml:space="preserve">Explanation and relations. How do general practitioners deal with patients with persistent medically unexplained symptoms: a focus group study. </w:t>
      </w:r>
      <w:r>
        <w:rPr>
          <w:i/>
          <w:iCs/>
          <w:color w:val="222222"/>
        </w:rPr>
        <w:t xml:space="preserve">BMC Family </w:t>
      </w:r>
      <w:proofErr w:type="spellStart"/>
      <w:r>
        <w:rPr>
          <w:i/>
          <w:iCs/>
          <w:color w:val="222222"/>
        </w:rPr>
        <w:t>Practice</w:t>
      </w:r>
      <w:proofErr w:type="spellEnd"/>
      <w:r>
        <w:rPr>
          <w:color w:val="222222"/>
        </w:rPr>
        <w:t xml:space="preserve">, </w:t>
      </w:r>
      <w:r>
        <w:rPr>
          <w:i/>
          <w:iCs/>
          <w:color w:val="222222"/>
        </w:rPr>
        <w:t>10</w:t>
      </w:r>
      <w:r>
        <w:rPr>
          <w:color w:val="222222"/>
        </w:rPr>
        <w:t>(1), 68.</w:t>
      </w:r>
    </w:p>
    <w:p w:rsidR="008B7377" w:rsidRPr="008B7377" w:rsidRDefault="008B7377" w:rsidP="008B7377">
      <w:pPr>
        <w:spacing w:after="200" w:line="276" w:lineRule="auto"/>
        <w:ind w:left="720"/>
        <w:contextualSpacing/>
        <w:rPr>
          <w:rFonts w:cs="Arial"/>
          <w:bCs/>
          <w:sz w:val="20"/>
          <w:szCs w:val="20"/>
          <w:lang w:val="nl-NL"/>
        </w:rPr>
      </w:pPr>
      <w:r w:rsidRPr="008B7377">
        <w:rPr>
          <w:rFonts w:cs="Arial"/>
          <w:bCs/>
          <w:sz w:val="20"/>
          <w:szCs w:val="20"/>
          <w:lang w:val="nl-NL"/>
        </w:rPr>
        <w:t xml:space="preserve">Karsten </w:t>
      </w:r>
      <w:r>
        <w:rPr>
          <w:rFonts w:cs="Arial"/>
          <w:bCs/>
          <w:sz w:val="20"/>
          <w:szCs w:val="20"/>
          <w:lang w:val="nl-NL"/>
        </w:rPr>
        <w:t>C.(</w:t>
      </w:r>
      <w:r w:rsidRPr="008B7377">
        <w:rPr>
          <w:rFonts w:cs="Arial"/>
          <w:bCs/>
          <w:sz w:val="20"/>
          <w:szCs w:val="20"/>
          <w:lang w:val="nl-NL"/>
        </w:rPr>
        <w:t>2017</w:t>
      </w:r>
      <w:r>
        <w:rPr>
          <w:rFonts w:cs="Arial"/>
          <w:bCs/>
          <w:sz w:val="20"/>
          <w:szCs w:val="20"/>
          <w:lang w:val="nl-NL"/>
        </w:rPr>
        <w:t>)</w:t>
      </w:r>
      <w:r w:rsidRPr="008B7377">
        <w:rPr>
          <w:rFonts w:cs="Arial"/>
          <w:bCs/>
          <w:sz w:val="20"/>
          <w:szCs w:val="20"/>
          <w:lang w:val="nl-NL"/>
        </w:rPr>
        <w:t xml:space="preserve"> ‘Uit je Burn-Out’ werkboek</w:t>
      </w:r>
      <w:r w:rsidRPr="008B7377">
        <w:rPr>
          <w:rFonts w:cs="Arial"/>
          <w:bCs/>
          <w:sz w:val="20"/>
          <w:szCs w:val="20"/>
          <w:lang w:val="nl-NL"/>
        </w:rPr>
        <w:t xml:space="preserve"> </w:t>
      </w:r>
      <w:r w:rsidRPr="008B7377">
        <w:rPr>
          <w:rFonts w:cs="Arial"/>
          <w:bCs/>
          <w:sz w:val="20"/>
          <w:szCs w:val="20"/>
          <w:lang w:val="nl-NL"/>
        </w:rPr>
        <w:t>Ger Keijsers, Caroline Vossen et. al. 2013 ‘Burn-Out behandelprotocol en werkboek bij burn-out’</w:t>
      </w:r>
      <w:bookmarkStart w:id="0" w:name="_GoBack"/>
      <w:bookmarkEnd w:id="0"/>
    </w:p>
    <w:p w:rsidR="008B7377" w:rsidRDefault="008B7377" w:rsidP="008B7377">
      <w:pPr>
        <w:spacing w:after="200" w:line="276" w:lineRule="auto"/>
        <w:ind w:left="720"/>
        <w:contextualSpacing/>
        <w:rPr>
          <w:rFonts w:cs="Arial"/>
          <w:bCs/>
          <w:sz w:val="20"/>
          <w:szCs w:val="20"/>
          <w:lang w:val="nl-NL"/>
        </w:rPr>
      </w:pPr>
    </w:p>
    <w:p w:rsidR="008B7377" w:rsidRPr="008B7377" w:rsidRDefault="008B7377" w:rsidP="008B7377">
      <w:pPr>
        <w:spacing w:after="200" w:line="276" w:lineRule="auto"/>
        <w:ind w:left="720"/>
        <w:contextualSpacing/>
        <w:rPr>
          <w:rFonts w:cs="Arial"/>
          <w:bCs/>
          <w:sz w:val="20"/>
          <w:szCs w:val="20"/>
          <w:lang w:val="nl-NL"/>
        </w:rPr>
      </w:pPr>
      <w:r w:rsidRPr="008B7377">
        <w:rPr>
          <w:rFonts w:cs="Arial"/>
          <w:bCs/>
          <w:sz w:val="20"/>
          <w:szCs w:val="20"/>
          <w:lang w:val="nl-NL"/>
        </w:rPr>
        <w:t>Keijsers</w:t>
      </w:r>
      <w:r>
        <w:rPr>
          <w:rFonts w:cs="Arial"/>
          <w:bCs/>
          <w:sz w:val="20"/>
          <w:szCs w:val="20"/>
          <w:lang w:val="nl-NL"/>
        </w:rPr>
        <w:t xml:space="preserve"> G, </w:t>
      </w:r>
      <w:r w:rsidRPr="008B7377">
        <w:rPr>
          <w:rFonts w:cs="Arial"/>
          <w:bCs/>
          <w:sz w:val="20"/>
          <w:szCs w:val="20"/>
          <w:lang w:val="nl-NL"/>
        </w:rPr>
        <w:t xml:space="preserve">Schaap </w:t>
      </w:r>
      <w:r>
        <w:rPr>
          <w:rFonts w:cs="Arial"/>
          <w:bCs/>
          <w:sz w:val="20"/>
          <w:szCs w:val="20"/>
          <w:lang w:val="nl-NL"/>
        </w:rPr>
        <w:t xml:space="preserve">C. </w:t>
      </w:r>
      <w:r w:rsidRPr="008B7377">
        <w:rPr>
          <w:rFonts w:cs="Arial"/>
          <w:bCs/>
          <w:sz w:val="20"/>
          <w:szCs w:val="20"/>
          <w:lang w:val="nl-NL"/>
        </w:rPr>
        <w:t>et al 2006 ‘Burn-out re-integratie training (therapeutenboek en werkboek)’</w:t>
      </w:r>
    </w:p>
    <w:p w:rsidR="008B7377" w:rsidRDefault="008B7377" w:rsidP="008B7377">
      <w:pPr>
        <w:spacing w:after="200" w:line="276" w:lineRule="auto"/>
        <w:ind w:left="720"/>
        <w:contextualSpacing/>
        <w:rPr>
          <w:rFonts w:cs="Arial"/>
          <w:bCs/>
          <w:sz w:val="20"/>
          <w:szCs w:val="20"/>
          <w:lang w:val="nl-NL"/>
        </w:rPr>
      </w:pPr>
    </w:p>
    <w:p w:rsidR="008B7377" w:rsidRPr="008B7377" w:rsidRDefault="008B7377" w:rsidP="008B7377">
      <w:pPr>
        <w:spacing w:after="200" w:line="276" w:lineRule="auto"/>
        <w:ind w:left="720"/>
        <w:contextualSpacing/>
        <w:rPr>
          <w:rFonts w:cs="Arial"/>
          <w:bCs/>
          <w:sz w:val="20"/>
          <w:szCs w:val="20"/>
          <w:lang w:val="nl-NL"/>
        </w:rPr>
      </w:pPr>
      <w:proofErr w:type="spellStart"/>
      <w:r w:rsidRPr="008B7377">
        <w:rPr>
          <w:rFonts w:cs="Arial"/>
          <w:bCs/>
          <w:sz w:val="20"/>
          <w:szCs w:val="20"/>
          <w:lang w:val="nl-NL"/>
        </w:rPr>
        <w:t>Sliedregt</w:t>
      </w:r>
      <w:proofErr w:type="spellEnd"/>
      <w:r w:rsidRPr="008B7377">
        <w:rPr>
          <w:rFonts w:cs="Arial"/>
          <w:bCs/>
          <w:sz w:val="20"/>
          <w:szCs w:val="20"/>
          <w:lang w:val="nl-NL"/>
        </w:rPr>
        <w:t xml:space="preserve"> </w:t>
      </w:r>
      <w:r>
        <w:rPr>
          <w:rFonts w:cs="Arial"/>
          <w:bCs/>
          <w:sz w:val="20"/>
          <w:szCs w:val="20"/>
          <w:lang w:val="nl-NL"/>
        </w:rPr>
        <w:t>van E.,(</w:t>
      </w:r>
      <w:r w:rsidRPr="008B7377">
        <w:rPr>
          <w:rFonts w:cs="Arial"/>
          <w:bCs/>
          <w:sz w:val="20"/>
          <w:szCs w:val="20"/>
          <w:lang w:val="nl-NL"/>
        </w:rPr>
        <w:t>2014</w:t>
      </w:r>
      <w:r>
        <w:rPr>
          <w:rFonts w:cs="Arial"/>
          <w:bCs/>
          <w:sz w:val="20"/>
          <w:szCs w:val="20"/>
          <w:lang w:val="nl-NL"/>
        </w:rPr>
        <w:t>)</w:t>
      </w:r>
      <w:r w:rsidRPr="008B7377">
        <w:rPr>
          <w:rFonts w:cs="Arial"/>
          <w:bCs/>
          <w:sz w:val="20"/>
          <w:szCs w:val="20"/>
          <w:lang w:val="nl-NL"/>
        </w:rPr>
        <w:t xml:space="preserve">  ‘Succes met je stress. (Voorkom een Burn-out)’</w:t>
      </w:r>
    </w:p>
    <w:p w:rsidR="008B7377" w:rsidRDefault="008B7377" w:rsidP="008B7377">
      <w:pPr>
        <w:pStyle w:val="Lijstalinea"/>
        <w:rPr>
          <w:rFonts w:ascii="Verdana" w:hAnsi="Verdana" w:cs="Arial"/>
          <w:bCs/>
          <w:sz w:val="20"/>
          <w:szCs w:val="20"/>
          <w:highlight w:val="yellow"/>
        </w:rPr>
      </w:pPr>
    </w:p>
    <w:sectPr w:rsidR="008B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AB3"/>
    <w:multiLevelType w:val="hybridMultilevel"/>
    <w:tmpl w:val="0218A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E1"/>
    <w:rsid w:val="005843B7"/>
    <w:rsid w:val="008B7377"/>
    <w:rsid w:val="00A710E1"/>
    <w:rsid w:val="00C04FD5"/>
    <w:rsid w:val="00C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43B7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843B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43B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43B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43B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843B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43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43B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43B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A710E1"/>
    <w:pPr>
      <w:spacing w:after="200" w:line="276" w:lineRule="auto"/>
      <w:ind w:left="720"/>
      <w:contextualSpacing/>
    </w:pPr>
    <w:rPr>
      <w:rFonts w:asciiTheme="minorHAnsi" w:hAnsiTheme="minorHAnsi"/>
      <w:sz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43B7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843B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43B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43B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43B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843B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43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43B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43B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A710E1"/>
    <w:pPr>
      <w:spacing w:after="200" w:line="276" w:lineRule="auto"/>
      <w:ind w:left="720"/>
      <w:contextualSpacing/>
    </w:pPr>
    <w:rPr>
      <w:rFonts w:asciiTheme="minorHAnsi" w:hAnsiTheme="minorHAnsi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Thoon BV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Tieti</dc:creator>
  <cp:lastModifiedBy>Tieti</cp:lastModifiedBy>
  <cp:revision>2</cp:revision>
  <dcterms:created xsi:type="dcterms:W3CDTF">2018-03-12T14:11:00Z</dcterms:created>
  <dcterms:modified xsi:type="dcterms:W3CDTF">2018-03-12T14:16:00Z</dcterms:modified>
</cp:coreProperties>
</file>